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2880"/>
        <w:jc w:val="center"/>
      </w:pPr>
      <w:r>
        <w:rPr>
          <w:rFonts w:ascii="Arial" w:cs="Arial" w:eastAsia="Arial" w:hAnsi="Arial"/>
          <w:b/>
          <w:bCs/>
          <w:color w:val="1F3864"/>
          <w:sz w:val="44"/>
          <w:szCs w:val="44"/>
        </w:rPr>
        <w:t xml:space="preserve">The Trinity Framework of Cognitive Systems</w:t>
      </w:r>
    </w:p>
    <w:p>
      <w:pPr>
        <w:spacing w:after="240" w:before="0"/>
        <w:jc w:val="center"/>
      </w:pPr>
      <w:r>
        <w:rPr>
          <w:rFonts w:ascii="Arial" w:cs="Arial" w:eastAsia="Arial" w:hAnsi="Arial"/>
          <w:color w:val="2E5596"/>
          <w:sz w:val="28"/>
          <w:szCs w:val="28"/>
        </w:rPr>
        <w:t xml:space="preserve">Unification — Emergence — Paradoxical Coherence</w:t>
      </w:r>
    </w:p>
    <w:p>
      <w:pPr>
        <w:spacing w:after="120" w:before="120"/>
        <w:jc w:val="center"/>
      </w:pPr>
      <w:r>
        <w:rPr>
          <w:rFonts w:ascii="Arial" w:cs="Arial" w:eastAsia="Arial" w:hAnsi="Arial"/>
          <w:i/>
          <w:iCs/>
          <w:sz w:val="24"/>
          <w:szCs w:val="24"/>
        </w:rPr>
        <w:t xml:space="preserve">A Structured Critical Thinking Architecture for Adaptive Civilizations</w:t>
      </w:r>
    </w:p>
    <w:p>
      <w:pPr>
        <w:spacing w:after="120" w:before="120"/>
        <w:jc w:val="center"/>
      </w:pPr>
      <w:r>
        <w:rPr>
          <w:rFonts w:ascii="Arial" w:cs="Arial" w:eastAsia="Arial" w:hAnsi="Arial"/>
          <w:i/>
          <w:iCs/>
          <w:color w:val="4A6FA5"/>
          <w:sz w:val="22"/>
          <w:szCs w:val="22"/>
        </w:rPr>
        <w:t xml:space="preserve">v5 — Citation Edition</w:t>
      </w:r>
    </w:p>
    <w:p>
      <w:pPr>
        <w:spacing w:after="2880" w:before="120"/>
        <w:jc w:val="center"/>
      </w:pPr>
      <w:r>
        <w:rPr>
          <w:rFonts w:ascii="Arial" w:cs="Arial" w:eastAsia="Arial" w:hAnsi="Arial"/>
          <w:sz w:val="24"/>
          <w:szCs w:val="24"/>
        </w:rPr>
        <w:t xml:space="preserve">QianJun Yu | System of Eternity Research Program</w:t>
      </w:r>
    </w:p>
    <w:p>
      <w:pPr>
        <w:pStyle w:val="Heading1"/>
        <w:spacing w:after="180" w:before="360"/>
      </w:pPr>
      <w:r>
        <w:rPr>
          <w:rFonts w:ascii="Arial" w:cs="Arial" w:eastAsia="Arial" w:hAnsi="Arial"/>
          <w:b/>
          <w:bCs/>
          <w:color w:val="1F3864"/>
          <w:sz w:val="36"/>
          <w:szCs w:val="36"/>
        </w:rPr>
        <w:t xml:space="preserve">1. Introduction</w:t>
      </w:r>
    </w:p>
    <w:p>
      <w:pPr>
        <w:spacing w:after="80" w:before="80"/>
      </w:pPr>
      <w:r>
        <w:rPr>
          <w:rFonts w:ascii="Times New Roman" w:cs="Times New Roman" w:eastAsia="Times New Roman" w:hAnsi="Times New Roman"/>
          <w:sz w:val="24"/>
          <w:szCs w:val="24"/>
        </w:rPr>
        <w:t xml:space="preserve">Modern civilization relies heavily on a cognitive framework that can be described as Analytical Differentiation (fen bie fa). This framework has enabled the development of modern science, engineering, governance systems, and technological civilization. It operates through four fundamental processes: classification, boundary definition, logical reasoning within categories, and structured problem decomposition.</w:t>
      </w:r>
    </w:p>
    <w:p>
      <w:pPr>
        <w:spacing w:after="60" w:before="60"/>
      </w:pPr>
      <w:r>
        <w:t xml:space="preserve"/>
      </w:r>
    </w:p>
    <w:p>
      <w:pPr>
        <w:spacing w:after="80" w:before="80"/>
      </w:pPr>
      <w:r>
        <w:rPr>
          <w:rFonts w:ascii="Times New Roman" w:cs="Times New Roman" w:eastAsia="Times New Roman" w:hAnsi="Times New Roman"/>
          <w:sz w:val="24"/>
          <w:szCs w:val="24"/>
        </w:rPr>
        <w:t xml:space="preserve">However, this same method often generates persistent conceptual conflicts, because it relies on rigid conceptual boundaries. Examples include: freedom vs. security, equality vs. efficiency, centralization vs. autonomy, tradition vs. innovation. These oppositions are typically treated as mutually exclusive choices. In complex systems, however, such conflicts may arise not from reality itself but from the conceptual frameworks used to describe it.</w:t>
      </w:r>
    </w:p>
    <w:p>
      <w:pPr>
        <w:spacing w:after="60" w:before="60"/>
      </w:pPr>
      <w:r>
        <w:t xml:space="preserve"/>
      </w:r>
    </w:p>
    <w:p>
      <w:pPr>
        <w:spacing w:after="80" w:before="80"/>
      </w:pPr>
      <w:r>
        <w:rPr>
          <w:rFonts w:ascii="Times New Roman" w:cs="Times New Roman" w:eastAsia="Times New Roman" w:hAnsi="Times New Roman"/>
          <w:sz w:val="24"/>
          <w:szCs w:val="24"/>
        </w:rPr>
        <w:t xml:space="preserve">To address these limitations, this paper proposes a multi-layer cognitive architecture called the Trinity Framework, organized into three functional layers:</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3000"/>
        <w:gridCol w:w="3860"/>
      </w:tblGrid>
      <w:tr>
        <w:trPr>
          <w:tblHeader/>
        </w:trPr>
        <w:tc>
          <w:tcPr>
            <w:tcW w:type="dxa" w:w="2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Layer</w:t>
            </w:r>
          </w:p>
        </w:tc>
        <w:tc>
          <w:tcPr>
            <w:tcW w:type="dxa" w:w="3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Component</w:t>
            </w:r>
          </w:p>
        </w:tc>
        <w:tc>
          <w:tcPr>
            <w:tcW w:type="dxa" w:w="38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Function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Exploration Method</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Impossible-First Reasoning</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Identify hidden structural constraints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Exploration Method</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Narrative Exploration</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Access structural constraints through embodied experience</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Core Cognitive Trinity</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Unification</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 insight</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Core Cognitive Trinity</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Emergence</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Generative innovation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Core Cognitive Trinity</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Paradoxical Coherence</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Adaptive equilibrium</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Operational Execution</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ADPIE Decision Cycle</w:t>
            </w:r>
          </w:p>
        </w:tc>
        <w:tc>
          <w:tcPr>
            <w:tcW w:type="dxa" w:w="3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Implementation and evaluation</w:t>
            </w:r>
          </w:p>
        </w:tc>
      </w:tr>
    </w:tbl>
    <w:p>
      <w:pPr>
        <w:spacing w:after="60" w:before="60"/>
      </w:pPr>
      <w:r>
        <w:t xml:space="preserve"/>
      </w:r>
    </w:p>
    <w:p>
      <w:pPr>
        <w:spacing w:after="80" w:before="80"/>
      </w:pPr>
      <w:r>
        <w:rPr>
          <w:rFonts w:ascii="Times New Roman" w:cs="Times New Roman" w:eastAsia="Times New Roman" w:hAnsi="Times New Roman"/>
          <w:sz w:val="24"/>
          <w:szCs w:val="24"/>
        </w:rPr>
        <w:t xml:space="preserve">Together these mechanisms form a structured system for critical thinking, discovery, innovation, and implementation.</w:t>
      </w:r>
    </w:p>
    <w:p>
      <w:pPr>
        <w:pStyle w:val="Heading1"/>
        <w:spacing w:after="180" w:before="360"/>
      </w:pPr>
      <w:r>
        <w:rPr>
          <w:rFonts w:ascii="Arial" w:cs="Arial" w:eastAsia="Arial" w:hAnsi="Arial"/>
          <w:b/>
          <w:bCs/>
          <w:color w:val="1F3864"/>
          <w:sz w:val="36"/>
          <w:szCs w:val="36"/>
        </w:rPr>
        <w:t xml:space="preserve">2. Impossible-First Reasoning</w:t>
      </w:r>
    </w:p>
    <w:p>
      <w:pPr>
        <w:spacing w:after="80" w:before="80"/>
      </w:pPr>
      <w:r>
        <w:rPr>
          <w:rFonts w:ascii="Times New Roman" w:cs="Times New Roman" w:eastAsia="Times New Roman" w:hAnsi="Times New Roman"/>
          <w:sz w:val="24"/>
          <w:szCs w:val="24"/>
        </w:rPr>
        <w:t xml:space="preserve">Exploratory Entry Method</w:t>
      </w:r>
    </w:p>
    <w:p>
      <w:pPr>
        <w:spacing w:after="60" w:before="60"/>
      </w:pPr>
      <w:r>
        <w:t xml:space="preserve"/>
      </w:r>
    </w:p>
    <w:p>
      <w:pPr>
        <w:spacing w:after="80" w:before="80"/>
      </w:pPr>
      <w:r>
        <w:rPr>
          <w:rFonts w:ascii="Times New Roman" w:cs="Times New Roman" w:eastAsia="Times New Roman" w:hAnsi="Times New Roman"/>
          <w:sz w:val="24"/>
          <w:szCs w:val="24"/>
        </w:rPr>
        <w:t xml:space="preserve">Traditional reasoning begins with existing knowledge and attempts to derive solutions within known constraints. Impossible-First Reasoning begins in the opposite direction. Instead of starting with what is known to be possible, it begins by imagining scenarios that appear impossible under current understanding.</w:t>
      </w:r>
    </w:p>
    <w:p>
      <w:pPr>
        <w:spacing w:after="60" w:before="60"/>
      </w:pPr>
      <w:r>
        <w:t xml:space="preserve"/>
      </w:r>
    </w:p>
    <w:p>
      <w:pPr>
        <w:spacing w:after="80" w:before="80"/>
      </w:pPr>
      <w:r>
        <w:rPr>
          <w:rFonts w:ascii="Times New Roman" w:cs="Times New Roman" w:eastAsia="Times New Roman" w:hAnsi="Times New Roman"/>
          <w:sz w:val="24"/>
          <w:szCs w:val="24"/>
        </w:rPr>
        <w:t xml:space="preserve">The purpose of this step is not to propose unrealistic solutions, but to reveal hidden structural assumptions and map the constraints that define impossibility within a given system.</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2.1 Stage 1 — Radical Imagination</w:t>
      </w:r>
    </w:p>
    <w:p>
      <w:pPr>
        <w:spacing w:after="80" w:before="80"/>
      </w:pPr>
      <w:r>
        <w:rPr>
          <w:rFonts w:ascii="Times New Roman" w:cs="Times New Roman" w:eastAsia="Times New Roman" w:hAnsi="Times New Roman"/>
          <w:sz w:val="24"/>
          <w:szCs w:val="24"/>
        </w:rPr>
        <w:t xml:space="preserve">The first stage deliberately explores ideas that appear impossible. These scenarios function as conceptual probes that expose the boundaries of current frameworks. At this stage the process is intentionally imaginative rather than analytical. Examples of such speculative questions include: How could a system manipulate the laws governing its environment? How could distributed microscopic agents collectively influence a global field? How could a system gain control over a structure by becoming part of it?</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2.2 Stage 2 — Constraint Identification</w:t>
      </w:r>
    </w:p>
    <w:p>
      <w:pPr>
        <w:spacing w:after="80" w:before="80"/>
      </w:pPr>
      <w:r>
        <w:rPr>
          <w:rFonts w:ascii="Times New Roman" w:cs="Times New Roman" w:eastAsia="Times New Roman" w:hAnsi="Times New Roman"/>
          <w:sz w:val="24"/>
          <w:szCs w:val="24"/>
        </w:rPr>
        <w:t xml:space="preserve">After the impossible scenario is imagined, the next step is to analyze why it appears impossible. Understanding these constraints reveals the structure that enforces the impossibility. Such constraints commonly include: symmetry conditions, conservation laws, equilibrium states, and rule-system definitions.</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2.3 Stage 3 — Structural Reframing</w:t>
      </w:r>
    </w:p>
    <w:p>
      <w:pPr>
        <w:spacing w:after="80" w:before="80"/>
      </w:pPr>
      <w:r>
        <w:rPr>
          <w:rFonts w:ascii="Times New Roman" w:cs="Times New Roman" w:eastAsia="Times New Roman" w:hAnsi="Times New Roman"/>
          <w:sz w:val="24"/>
          <w:szCs w:val="24"/>
        </w:rPr>
        <w:t xml:space="preserve">Once the constraint is identified, the reasoning process explores whether the limitation arises from a particular conceptual framework. If the structure that produces the constraint can be reframed, the problem itself may change form. At this stage the reasoning process transitions naturally into the Unification Method, which identifies the deeper structures that generate conceptual oppositions.</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2.4 Structural Approaches Revealed by Impossible-First Thinking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Strategy</w:t>
            </w:r>
          </w:p>
        </w:tc>
        <w:tc>
          <w:tcPr>
            <w:tcW w:type="dxa" w:w="63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Description</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 participation</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 system gains influence by becoming part of the structure it interacts with</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Rule-level interaction</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System behavior changes through modification or interaction of governing rules</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Distributed control</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Many small agents collectively influence global behavior</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 reframing</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The conceptual framework producing the problem is redefined</w:t>
            </w:r>
          </w:p>
        </w:tc>
      </w:tr>
    </w:tbl>
    <w:p>
      <w:pPr>
        <w:pStyle w:val="Heading1"/>
        <w:spacing w:after="180" w:before="360"/>
      </w:pPr>
      <w:r>
        <w:rPr>
          <w:rFonts w:ascii="Arial" w:cs="Arial" w:eastAsia="Arial" w:hAnsi="Arial"/>
          <w:b/>
          <w:bCs/>
          <w:color w:val="1F3864"/>
          <w:sz w:val="36"/>
          <w:szCs w:val="36"/>
        </w:rPr>
        <w:t xml:space="preserve">3. Narrative Exploration</w:t>
      </w:r>
    </w:p>
    <w:p>
      <w:pPr>
        <w:spacing w:after="80" w:before="80"/>
      </w:pPr>
      <w:r>
        <w:rPr>
          <w:rFonts w:ascii="Times New Roman" w:cs="Times New Roman" w:eastAsia="Times New Roman" w:hAnsi="Times New Roman"/>
          <w:sz w:val="24"/>
          <w:szCs w:val="24"/>
        </w:rPr>
        <w:t xml:space="preserve">Exploratory Entry Method</w:t>
      </w:r>
    </w:p>
    <w:p>
      <w:pPr>
        <w:spacing w:after="60" w:before="60"/>
      </w:pPr>
      <w:r>
        <w:t xml:space="preserve"/>
      </w:r>
    </w:p>
    <w:p>
      <w:pPr>
        <w:spacing w:after="80" w:before="80"/>
      </w:pPr>
      <w:r>
        <w:rPr>
          <w:rFonts w:ascii="Times New Roman" w:cs="Times New Roman" w:eastAsia="Times New Roman" w:hAnsi="Times New Roman"/>
          <w:sz w:val="24"/>
          <w:szCs w:val="24"/>
        </w:rPr>
        <w:t xml:space="preserve">Impossible-First Reasoning is a deliberate, analytical process: the reasoner consciously constructs an impossible scenario and examines its constraints. Narrative Exploration is the complementary entry method. Rather than reasoning toward structural constraints from the outside, it accesses them from the inside — through inhabiting situations, following characters, and discovering the internal logic of a world as it unfolds.</w:t>
      </w:r>
    </w:p>
    <w:p>
      <w:pPr>
        <w:spacing w:after="60" w:before="60"/>
      </w:pPr>
      <w:r>
        <w:t xml:space="preserve"/>
      </w:r>
    </w:p>
    <w:p>
      <w:pPr>
        <w:spacing w:after="80" w:before="80"/>
      </w:pPr>
      <w:r>
        <w:rPr>
          <w:rFonts w:ascii="Times New Roman" w:cs="Times New Roman" w:eastAsia="Times New Roman" w:hAnsi="Times New Roman"/>
          <w:sz w:val="24"/>
          <w:szCs w:val="24"/>
        </w:rPr>
        <w:t xml:space="preserve">Stories have historically been treated as vehicles for entertainment, cultural transmission, or moral instruction. What is less recognized is their function as epistemic tools: structured environments in which structural constraints, system dynamics, and governance failures can be explored at low cost and high fidelity. A story does not merely illustrate a concept — it runs a simulation (Mar &amp; Oatley, 2008; Zwaan, 1999).</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3.1 How Narrative Generates Structural Insight</w:t>
      </w:r>
    </w:p>
    <w:p>
      <w:pPr>
        <w:spacing w:after="80" w:before="80"/>
      </w:pPr>
      <w:r>
        <w:rPr>
          <w:rFonts w:ascii="Times New Roman" w:cs="Times New Roman" w:eastAsia="Times New Roman" w:hAnsi="Times New Roman"/>
          <w:sz w:val="24"/>
          <w:szCs w:val="24"/>
        </w:rPr>
        <w:t xml:space="preserve">When a reader inhabits a narrative, they do not analyze its world from outside. They encounter constraints as lived experience: resource scarcity, social rules, physical limits, institutional failures. This immersive mode of engagement activates pattern recognition in ways that abstract reasoning does not (Barsalou, 1999; Mar &amp; Oatley, 2008).</w:t>
      </w:r>
    </w:p>
    <w:p>
      <w:pPr>
        <w:spacing w:after="60" w:before="60"/>
      </w:pPr>
      <w:r>
        <w:t xml:space="preserve"/>
      </w:r>
    </w:p>
    <w:p>
      <w:pPr>
        <w:spacing w:after="80" w:before="80"/>
      </w:pPr>
      <w:r>
        <w:rPr>
          <w:rFonts w:ascii="Times New Roman" w:cs="Times New Roman" w:eastAsia="Times New Roman" w:hAnsi="Times New Roman"/>
          <w:sz w:val="24"/>
          <w:szCs w:val="24"/>
        </w:rPr>
        <w:t xml:space="preserve">The result is a form of structural understanding that arrives intuitively rather than analytically. A reader who has followed a civilization through collapse develops an implicit model of systemic fragility — one that may later surface as insight during structural analysis.</w:t>
      </w:r>
    </w:p>
    <w:p>
      <w:pPr>
        <w:spacing w:after="60" w:before="60"/>
      </w:pPr>
      <w:r>
        <w:t xml:space="preserve"/>
      </w:r>
    </w:p>
    <w:p>
      <w:pPr>
        <w:spacing w:after="80" w:before="80"/>
      </w:pPr>
      <w:r>
        <w:rPr>
          <w:rFonts w:ascii="Times New Roman" w:cs="Times New Roman" w:eastAsia="Times New Roman" w:hAnsi="Times New Roman"/>
          <w:sz w:val="24"/>
          <w:szCs w:val="24"/>
        </w:rPr>
        <w:t xml:space="preserve">This makes Narrative Exploration particularly valuable for discovering constraints that are difficult to identify through deliberate reasoning alone: emergent dynamics, trust degradation, coordination failures, and second-order consequences that only become visible across long time horizons.</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3.2 Distinction from Impossible-First Reasoning</w:t>
      </w:r>
    </w:p>
    <w:p>
      <w:pPr>
        <w:spacing w:after="80" w:before="80"/>
      </w:pPr>
      <w:r>
        <w:rPr>
          <w:rFonts w:ascii="Times New Roman" w:cs="Times New Roman" w:eastAsia="Times New Roman" w:hAnsi="Times New Roman"/>
          <w:sz w:val="24"/>
          <w:szCs w:val="24"/>
        </w:rPr>
        <w:t xml:space="preserve">Both entry methods serve the same function: exposing hidden structural constraints. They differ in access mode and cognitive register.</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80"/>
        <w:gridCol w:w="3580"/>
      </w:tblGrid>
      <w:tr>
        <w:trPr>
          <w:tblHeader/>
        </w:trPr>
        <w:tc>
          <w:tcPr>
            <w:tcW w:type="dxa" w:w="22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Dimension</w:t>
            </w:r>
          </w:p>
        </w:tc>
        <w:tc>
          <w:tcPr>
            <w:tcW w:type="dxa" w:w="358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Impossible-First Reasoning</w:t>
            </w:r>
          </w:p>
        </w:tc>
        <w:tc>
          <w:tcPr>
            <w:tcW w:type="dxa" w:w="358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Narrative Exploration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Mode</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Deliberate, analytical</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Immersive, experiential</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Entry point</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Constructed impossibility</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Inhabited situation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Constraint discovery</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Explicit and traced</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Implicit and felt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Best for</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Known system boundaries</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Emergent and social dynamics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Cognitive register</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Abstract imagination</w:t>
            </w:r>
          </w:p>
        </w:tc>
        <w:tc>
          <w:tcPr>
            <w:tcW w:type="dxa" w:w="35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Pattern recognition through story</w:t>
            </w:r>
          </w:p>
        </w:tc>
      </w:tr>
    </w:tbl>
    <w:p>
      <w:pPr>
        <w:spacing w:after="60" w:before="60"/>
      </w:pPr>
      <w:r>
        <w:t xml:space="preserve"/>
      </w:r>
    </w:p>
    <w:p>
      <w:pPr>
        <w:spacing w:after="80" w:before="80"/>
      </w:pPr>
      <w:r>
        <w:rPr>
          <w:rFonts w:ascii="Times New Roman" w:cs="Times New Roman" w:eastAsia="Times New Roman" w:hAnsi="Times New Roman"/>
          <w:sz w:val="24"/>
          <w:szCs w:val="24"/>
        </w:rPr>
        <w:t xml:space="preserve">Neither method is superior. They access different categories of structural insight and are most powerful when used together: Impossible-First Reasoning maps the logical boundary of a system; Narrative Exploration reveals what living inside that boundary actually produces.</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3.3 Narrative as Emergence Environment</w:t>
      </w:r>
    </w:p>
    <w:p>
      <w:pPr>
        <w:spacing w:after="80" w:before="80"/>
      </w:pPr>
      <w:r>
        <w:rPr>
          <w:rFonts w:ascii="Times New Roman" w:cs="Times New Roman" w:eastAsia="Times New Roman" w:hAnsi="Times New Roman"/>
          <w:sz w:val="24"/>
          <w:szCs w:val="24"/>
        </w:rPr>
        <w:t xml:space="preserve">Stories are also natural emergence environments. A narrative world operates according to internal rules — physical, social, institutional, biological. As characters interact with these rules across time, new structures emerge: alliances, conflicts, institutional failures, unexpected equilibria.</w:t>
      </w:r>
    </w:p>
    <w:p>
      <w:pPr>
        <w:spacing w:after="60" w:before="60"/>
      </w:pPr>
      <w:r>
        <w:t xml:space="preserve"/>
      </w:r>
    </w:p>
    <w:p>
      <w:pPr>
        <w:spacing w:after="80" w:before="80"/>
      </w:pPr>
      <w:r>
        <w:rPr>
          <w:rFonts w:ascii="Times New Roman" w:cs="Times New Roman" w:eastAsia="Times New Roman" w:hAnsi="Times New Roman"/>
          <w:sz w:val="24"/>
          <w:szCs w:val="24"/>
        </w:rPr>
        <w:t xml:space="preserve">This makes narrative structurally analogous to the Emergence Method described in Section 5. The difference is that narrative emergence is experienced rather than designed. The reader does not construct the rule interactions — they observe them unfold, which allows the mind to register emergent patterns without the interference of prior analytical commitments.</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3.4 Civilizational Knowledge Encoded in Stories</w:t>
      </w:r>
    </w:p>
    <w:p>
      <w:pPr>
        <w:spacing w:after="80" w:before="80"/>
      </w:pPr>
      <w:r>
        <w:rPr>
          <w:rFonts w:ascii="Times New Roman" w:cs="Times New Roman" w:eastAsia="Times New Roman" w:hAnsi="Times New Roman"/>
          <w:sz w:val="24"/>
          <w:szCs w:val="24"/>
        </w:rPr>
        <w:t xml:space="preserve">Across human history, structural insights about governance, cooperation, trust, and systemic collapse have been encoded in narrative form long before they were formalized analytically. Myths, epics, and speculative fiction have functioned as civilization-scale repositories of structural knowledge — transmitting not just moral codes, but dynamic models of how systems behave under stress.</w:t>
      </w:r>
    </w:p>
    <w:p>
      <w:pPr>
        <w:spacing w:after="60" w:before="60"/>
      </w:pPr>
      <w:r>
        <w:t xml:space="preserve"/>
      </w:r>
    </w:p>
    <w:p>
      <w:pPr>
        <w:spacing w:after="80" w:before="80"/>
      </w:pPr>
      <w:r>
        <w:rPr>
          <w:rFonts w:ascii="Times New Roman" w:cs="Times New Roman" w:eastAsia="Times New Roman" w:hAnsi="Times New Roman"/>
          <w:sz w:val="24"/>
          <w:szCs w:val="24"/>
        </w:rPr>
        <w:t xml:space="preserve">This is consistent with the role Narrative Exploration plays within the Trinity Framework. Stories do not merely reflect structural dynamics — they preserve and transmit them across contexts where formal analysis cannot reach.</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3.5 Practical Application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Context</w:t>
            </w:r>
          </w:p>
        </w:tc>
        <w:tc>
          <w:tcPr>
            <w:tcW w:type="dxa" w:w="68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Application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Governance design</w:t>
            </w:r>
          </w:p>
        </w:tc>
        <w:tc>
          <w:tcPr>
            <w:tcW w:type="dxa" w:w="6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Read historical and speculative narratives about institutional collapse, coordination failure, and systemic resilience</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Emergence modeling</w:t>
            </w:r>
          </w:p>
        </w:tc>
        <w:tc>
          <w:tcPr>
            <w:tcW w:type="dxa" w:w="6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Use narrative scenarios to stress-test rule interactions before formal simulation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Communication</w:t>
            </w:r>
          </w:p>
        </w:tc>
        <w:tc>
          <w:tcPr>
            <w:tcW w:type="dxa" w:w="6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Translate structural insights into narrative form to make them accessible across audiences and time scales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Discovery</w:t>
            </w:r>
          </w:p>
        </w:tc>
        <w:tc>
          <w:tcPr>
            <w:tcW w:type="dxa" w:w="6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Approach unfamiliar domains through story before analysis to reduce the distortion introduced by prior frameworks</w:t>
            </w:r>
          </w:p>
        </w:tc>
      </w:tr>
    </w:tbl>
    <w:p>
      <w:pPr>
        <w:spacing w:after="60" w:before="60"/>
      </w:pPr>
      <w:r>
        <w:t xml:space="preserve"/>
      </w:r>
    </w:p>
    <w:p>
      <w:pPr>
        <w:spacing w:after="80" w:before="80"/>
      </w:pPr>
      <w:r>
        <w:rPr>
          <w:rFonts w:ascii="Times New Roman" w:cs="Times New Roman" w:eastAsia="Times New Roman" w:hAnsi="Times New Roman"/>
          <w:sz w:val="24"/>
          <w:szCs w:val="24"/>
        </w:rPr>
        <w:t xml:space="preserve">Within the SOE architecture, Narrative Exploration functions as the civilizational transmission layer — the mechanism by which structural insights generated through Unification, Emergence, and Paradoxical Coherence are encoded in forms capable of surviving institutional change and cultural discontinuity.</w:t>
      </w:r>
    </w:p>
    <w:p>
      <w:pPr>
        <w:pStyle w:val="Heading1"/>
        <w:spacing w:after="180" w:before="360"/>
      </w:pPr>
      <w:r>
        <w:rPr>
          <w:rFonts w:ascii="Arial" w:cs="Arial" w:eastAsia="Arial" w:hAnsi="Arial"/>
          <w:b/>
          <w:bCs/>
          <w:color w:val="1F3864"/>
          <w:sz w:val="36"/>
          <w:szCs w:val="36"/>
        </w:rPr>
        <w:t xml:space="preserve">4. The Unification Method (Gui Yi)</w:t>
      </w:r>
    </w:p>
    <w:p>
      <w:pPr>
        <w:spacing w:after="80" w:before="80"/>
      </w:pPr>
      <w:r>
        <w:rPr>
          <w:rFonts w:ascii="Times New Roman" w:cs="Times New Roman" w:eastAsia="Times New Roman" w:hAnsi="Times New Roman"/>
          <w:sz w:val="24"/>
          <w:szCs w:val="24"/>
        </w:rPr>
        <w:t xml:space="preserve">The Unification Method addresses conflicts created by analytical differentiation. Instead of resolving disputes within existing conceptual categories, the method examines the generative structures that produce those categories. Conflicts are resolved not through compromise, but through structural reframing.</w:t>
      </w:r>
    </w:p>
    <w:p>
      <w:pPr>
        <w:spacing w:after="60" w:before="60"/>
      </w:pPr>
      <w:r>
        <w:t xml:space="preserve"/>
      </w:r>
    </w:p>
    <w:p>
      <w:pPr>
        <w:spacing w:after="80" w:before="80"/>
      </w:pPr>
      <w:r>
        <w:rPr>
          <w:rFonts w:ascii="Times New Roman" w:cs="Times New Roman" w:eastAsia="Times New Roman" w:hAnsi="Times New Roman"/>
          <w:sz w:val="24"/>
          <w:szCs w:val="24"/>
        </w:rPr>
        <w:t xml:space="preserve">The method operates through three sequential stages:</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500"/>
        <w:gridCol w:w="4360"/>
      </w:tblGrid>
      <w:tr>
        <w:trPr>
          <w:tblHeader/>
        </w:trPr>
        <w:tc>
          <w:tcPr>
            <w:tcW w:type="dxa" w:w="2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Stage</w:t>
            </w:r>
          </w:p>
        </w:tc>
        <w:tc>
          <w:tcPr>
            <w:tcW w:type="dxa" w:w="2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Chinese Term</w:t>
            </w:r>
          </w:p>
        </w:tc>
        <w:tc>
          <w:tcPr>
            <w:tcW w:type="dxa" w:w="43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Description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 Abstraction</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San Yuan Gui Er</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Multiple conceptual categories are reduced to underlying dynamic axes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Paradox Dissolution</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Er Yuan Gui Yi</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Opposing concepts are recognized as expressions of a shared structure</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Boundary Dissolution</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Yi Yuan Gui Dao</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The conceptual framework producing the opposition is transcended</w:t>
            </w:r>
          </w:p>
        </w:tc>
      </w:tr>
    </w:tbl>
    <w:p>
      <w:pPr>
        <w:spacing w:after="60" w:before="60"/>
      </w:pPr>
      <w:r>
        <w:t xml:space="preserve"/>
      </w:r>
    </w:p>
    <w:p>
      <w:pPr>
        <w:spacing w:after="80" w:before="80"/>
      </w:pPr>
      <w:r>
        <w:rPr>
          <w:rFonts w:ascii="Times New Roman" w:cs="Times New Roman" w:eastAsia="Times New Roman" w:hAnsi="Times New Roman"/>
          <w:sz w:val="24"/>
          <w:szCs w:val="24"/>
        </w:rPr>
        <w:t xml:space="preserve">For example: freedom / security → governance risk parameters; centralization / autonomy → coordination structures.</w:t>
      </w:r>
    </w:p>
    <w:p>
      <w:pPr>
        <w:pStyle w:val="Heading1"/>
        <w:spacing w:after="180" w:before="360"/>
      </w:pPr>
      <w:r>
        <w:rPr>
          <w:rFonts w:ascii="Arial" w:cs="Arial" w:eastAsia="Arial" w:hAnsi="Arial"/>
          <w:b/>
          <w:bCs/>
          <w:color w:val="1F3864"/>
          <w:sz w:val="36"/>
          <w:szCs w:val="36"/>
        </w:rPr>
        <w:t xml:space="preserve">5. The Non-Positional Center (Zhong Yong)</w:t>
      </w:r>
    </w:p>
    <w:p>
      <w:pPr>
        <w:spacing w:after="80" w:before="80"/>
      </w:pPr>
      <w:r>
        <w:rPr>
          <w:rFonts w:ascii="Times New Roman" w:cs="Times New Roman" w:eastAsia="Times New Roman" w:hAnsi="Times New Roman"/>
          <w:sz w:val="24"/>
          <w:szCs w:val="24"/>
        </w:rPr>
        <w:t xml:space="preserve">The Unification Method has philosophical precedents in several intellectual traditions. One particularly clear illustration appears in the Confucian concept of Zhong Yong (the non-positional center). Understanding this concept clarifies what the Unification Method implies about the nature of balance itself.</w:t>
      </w:r>
    </w:p>
    <w:p>
      <w:pPr>
        <w:spacing w:after="60" w:before="60"/>
      </w:pPr>
      <w:r>
        <w:t xml:space="preserve"/>
      </w:r>
    </w:p>
    <w:p>
      <w:pPr>
        <w:spacing w:after="80" w:before="80"/>
      </w:pPr>
      <w:r>
        <w:rPr>
          <w:rFonts w:ascii="Times New Roman" w:cs="Times New Roman" w:eastAsia="Times New Roman" w:hAnsi="Times New Roman"/>
          <w:sz w:val="24"/>
          <w:szCs w:val="24"/>
        </w:rPr>
        <w:t xml:space="preserve">Many interpretations of balance assume a linear scale in which the middle represents a compromise between two extremes. However, this structure is inherently unstable because the scale has no fixed boundary. Positions may extend indefinitely, causing the midpoint to shift.</w:t>
      </w:r>
    </w:p>
    <w:p>
      <w:pPr>
        <w:spacing w:after="60" w:before="60"/>
      </w:pPr>
      <w:r>
        <w:t xml:space="preserve"/>
      </w:r>
    </w:p>
    <w:p>
      <w:pPr>
        <w:spacing w:after="80" w:before="80"/>
      </w:pPr>
      <w:r>
        <w:rPr>
          <w:rFonts w:ascii="Times New Roman" w:cs="Times New Roman" w:eastAsia="Times New Roman" w:hAnsi="Times New Roman"/>
          <w:sz w:val="24"/>
          <w:szCs w:val="24"/>
        </w:rPr>
        <w:t xml:space="preserve">In the Confucian concept of Zhong Yong, the center is not located on the scale. It exists outside the oppositional structure. The center does not balance the extremes. Instead, it changes the conditions that generate the opposition. The center thus represents a structural exit rather than a midpoint.</w:t>
      </w:r>
    </w:p>
    <w:p>
      <w:pPr>
        <w:spacing w:after="60" w:before="60"/>
      </w:pPr>
      <w:r>
        <w:t xml:space="preserve"/>
      </w:r>
    </w:p>
    <w:p>
      <w:pPr>
        <w:spacing w:after="80" w:before="80"/>
      </w:pPr>
      <w:r>
        <w:rPr>
          <w:rFonts w:ascii="Times New Roman" w:cs="Times New Roman" w:eastAsia="Times New Roman" w:hAnsi="Times New Roman"/>
          <w:sz w:val="24"/>
          <w:szCs w:val="24"/>
        </w:rPr>
        <w:t xml:space="preserve">This interpretation aligns directly with the Unification Method. Rather than choosing between opposing positions, the system identifies the generative structure producing the opposition. When the structure changes, the opposition itself may dissolve.</w:t>
      </w:r>
    </w:p>
    <w:p>
      <w:pPr>
        <w:pStyle w:val="Heading1"/>
        <w:spacing w:after="180" w:before="360"/>
      </w:pPr>
      <w:r>
        <w:rPr>
          <w:rFonts w:ascii="Arial" w:cs="Arial" w:eastAsia="Arial" w:hAnsi="Arial"/>
          <w:b/>
          <w:bCs/>
          <w:color w:val="1F3864"/>
          <w:sz w:val="36"/>
          <w:szCs w:val="36"/>
        </w:rPr>
        <w:t xml:space="preserve">6. The Emergence Method (Yong Xian)</w:t>
      </w:r>
    </w:p>
    <w:p>
      <w:pPr>
        <w:spacing w:after="80" w:before="80"/>
      </w:pPr>
      <w:r>
        <w:rPr>
          <w:rFonts w:ascii="Times New Roman" w:cs="Times New Roman" w:eastAsia="Times New Roman" w:hAnsi="Times New Roman"/>
          <w:sz w:val="24"/>
          <w:szCs w:val="24"/>
        </w:rPr>
        <w:t xml:space="preserve">While Unification reveals underlying structures, the Emergence Method governs the generation of new structures through interaction. Rules function as reactive elements within a generative system — a process that can be described metaphorically as rule chemistry.</w:t>
      </w:r>
    </w:p>
    <w:p>
      <w:pPr>
        <w:spacing w:after="60" w:before="60"/>
      </w:pPr>
      <w:r>
        <w:t xml:space="preserve"/>
      </w:r>
    </w:p>
    <w:p>
      <w:pPr>
        <w:spacing w:after="80" w:before="80"/>
      </w:pPr>
      <w:r>
        <w:rPr>
          <w:rFonts w:ascii="Times New Roman" w:cs="Times New Roman" w:eastAsia="Times New Roman" w:hAnsi="Times New Roman"/>
          <w:sz w:val="24"/>
          <w:szCs w:val="24"/>
        </w:rPr>
        <w:t xml:space="preserve">Traditional systems operate according to a linear logic: rules → behavior → outcomes. Emergence operates at a deeper level, where rules interact to produce new rule structures. Because rule interactions involve nonlinear feedback, their outcomes cannot always be predicted. Instead of designing final outcomes directly, emergence focuses on creating environments where beneficial structures can arise.</w:t>
      </w:r>
    </w:p>
    <w:p>
      <w:pPr>
        <w:spacing w:after="60" w:before="60"/>
      </w:pPr>
      <w:r>
        <w:t xml:space="preserve"/>
      </w:r>
    </w:p>
    <w:p>
      <w:pPr>
        <w:spacing w:after="80" w:before="80"/>
      </w:pPr>
      <w:r>
        <w:rPr>
          <w:rFonts w:ascii="Times New Roman" w:cs="Times New Roman" w:eastAsia="Times New Roman" w:hAnsi="Times New Roman"/>
          <w:sz w:val="24"/>
          <w:szCs w:val="24"/>
        </w:rPr>
        <w:t xml:space="preserve">The framework therefore relies on the ADPIE evaluation stage to continuously test emergent structures against core objectives such as cooperation, stability, and long-term resilience.</w:t>
      </w:r>
    </w:p>
    <w:p>
      <w:pPr>
        <w:spacing w:after="60" w:before="60"/>
      </w:pPr>
      <w:r>
        <w:t xml:space="preserve"/>
      </w:r>
    </w:p>
    <w:p>
      <w:pPr>
        <w:spacing w:after="80" w:before="80"/>
      </w:pPr>
      <w:r>
        <w:rPr>
          <w:rFonts w:ascii="Times New Roman" w:cs="Times New Roman" w:eastAsia="Times New Roman" w:hAnsi="Times New Roman"/>
          <w:sz w:val="24"/>
          <w:szCs w:val="24"/>
        </w:rPr>
        <w:t xml:space="preserve">In biological systems, simple local rules can produce complex global structures. Examples include: cellular growth patterns, ant colony organization, ecological systems.</w:t>
      </w:r>
    </w:p>
    <w:p>
      <w:pPr>
        <w:pStyle w:val="Heading1"/>
        <w:spacing w:after="180" w:before="360"/>
      </w:pPr>
      <w:r>
        <w:rPr>
          <w:rFonts w:ascii="Arial" w:cs="Arial" w:eastAsia="Arial" w:hAnsi="Arial"/>
          <w:b/>
          <w:bCs/>
          <w:color w:val="1F3864"/>
          <w:sz w:val="36"/>
          <w:szCs w:val="36"/>
        </w:rPr>
        <w:t xml:space="preserve">7. Paradoxical Coherence (Qi Gui)</w:t>
      </w:r>
    </w:p>
    <w:p>
      <w:pPr>
        <w:spacing w:after="80" w:before="80"/>
      </w:pPr>
      <w:r>
        <w:rPr>
          <w:rFonts w:ascii="Times New Roman" w:cs="Times New Roman" w:eastAsia="Times New Roman" w:hAnsi="Times New Roman"/>
          <w:sz w:val="24"/>
          <w:szCs w:val="24"/>
        </w:rPr>
        <w:t xml:space="preserve">When Unification and Emergence operate simultaneously, a distinctive systemic state may arise. This state is called Paradoxical Coherence. The system functions as a dual engine: Unification identifies generative structures; Emergence generates new structures.</w:t>
      </w:r>
    </w:p>
    <w:p>
      <w:pPr>
        <w:spacing w:after="60" w:before="60"/>
      </w:pPr>
      <w:r>
        <w:t xml:space="preserve"/>
      </w:r>
    </w:p>
    <w:p>
      <w:pPr>
        <w:spacing w:after="80" w:before="80"/>
      </w:pPr>
      <w:r>
        <w:rPr>
          <w:rFonts w:ascii="Times New Roman" w:cs="Times New Roman" w:eastAsia="Times New Roman" w:hAnsi="Times New Roman"/>
          <w:sz w:val="24"/>
          <w:szCs w:val="24"/>
        </w:rPr>
        <w:t xml:space="preserve">Paradoxical Coherence does not imply logical contradiction. Instead, it describes systems in which multiple structural principles operate simultaneously at different levels. Systems in this state may appear contradictory to observers using traditional analytical frameworks; however, the apparent contradiction arises because multiple structural processes operate simultaneously.</w:t>
      </w:r>
    </w:p>
    <w:p>
      <w:pPr>
        <w:spacing w:after="60" w:before="60"/>
      </w:pPr>
      <w:r>
        <w:t xml:space="preserve"/>
      </w:r>
    </w:p>
    <w:p>
      <w:pPr>
        <w:spacing w:after="80" w:before="80"/>
      </w:pPr>
      <w:r>
        <w:rPr>
          <w:rFonts w:ascii="Times New Roman" w:cs="Times New Roman" w:eastAsia="Times New Roman" w:hAnsi="Times New Roman"/>
          <w:sz w:val="24"/>
          <w:szCs w:val="24"/>
        </w:rPr>
        <w:t xml:space="preserve">Many natural and institutional systems exhibit this property. For example, light behaves as both a wave and a particle depending on experimental conditions — wave-particle duality. Similarly, stable governance systems often combine centralized coordination with decentralized autonomy, maintaining coherence through the simultaneous operation of both principles.</w:t>
      </w:r>
    </w:p>
    <w:p>
      <w:pPr>
        <w:pStyle w:val="Heading1"/>
        <w:spacing w:after="180" w:before="360"/>
      </w:pPr>
      <w:r>
        <w:rPr>
          <w:rFonts w:ascii="Arial" w:cs="Arial" w:eastAsia="Arial" w:hAnsi="Arial"/>
          <w:b/>
          <w:bCs/>
          <w:color w:val="1F3864"/>
          <w:sz w:val="36"/>
          <w:szCs w:val="36"/>
        </w:rPr>
        <w:t xml:space="preserve">8. The Trinity Framework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860"/>
      </w:tblGrid>
      <w:tr>
        <w:trPr>
          <w:tblHeader/>
        </w:trPr>
        <w:tc>
          <w:tcPr>
            <w:tcW w:type="dxa" w:w="2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Mechanism</w:t>
            </w:r>
          </w:p>
        </w:tc>
        <w:tc>
          <w:tcPr>
            <w:tcW w:type="dxa" w:w="2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Layer</w:t>
            </w:r>
          </w:p>
        </w:tc>
        <w:tc>
          <w:tcPr>
            <w:tcW w:type="dxa" w:w="48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Function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Impossible-First Reasoning</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Exploration</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Identifies structural constraints through deliberate analytical imagination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Narrative Exploration</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Exploration</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Identifies structural constraints through immersive experiential engagement</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Unification</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Core Trinity</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 insight through generative analysis</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Emergence</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Core Trinity</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Generative innovation through rule interaction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Paradoxical Coherence</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Core Trinity</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Adaptive equilibrium during transformation</w:t>
            </w:r>
          </w:p>
        </w:tc>
      </w:tr>
      <w:tr>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ADPIE</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Execution</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Operationalizes insights through structured decision cycles</w:t>
            </w:r>
          </w:p>
        </w:tc>
      </w:tr>
    </w:tbl>
    <w:p>
      <w:pPr>
        <w:spacing w:after="60" w:before="60"/>
      </w:pPr>
      <w:r>
        <w:t xml:space="preserve"/>
      </w:r>
    </w:p>
    <w:p>
      <w:pPr>
        <w:spacing w:after="80" w:before="80"/>
      </w:pPr>
      <w:r>
        <w:rPr>
          <w:rFonts w:ascii="Times New Roman" w:cs="Times New Roman" w:eastAsia="Times New Roman" w:hAnsi="Times New Roman"/>
          <w:sz w:val="24"/>
          <w:szCs w:val="24"/>
        </w:rPr>
        <w:t xml:space="preserve">Figure 1. Architecture of the Structured Critical Thinking System. The Trinity (Unification—Emergence—Paradoxical Coherence) forms the core cognitive engine, supported by two complementary exploratory entry methods and ADPIE as the operational execution loop.</w:t>
      </w:r>
    </w:p>
    <w:p>
      <w:pPr>
        <w:pStyle w:val="Heading1"/>
        <w:spacing w:after="180" w:before="360"/>
      </w:pPr>
      <w:r>
        <w:rPr>
          <w:rFonts w:ascii="Arial" w:cs="Arial" w:eastAsia="Arial" w:hAnsi="Arial"/>
          <w:b/>
          <w:bCs/>
          <w:color w:val="1F3864"/>
          <w:sz w:val="36"/>
          <w:szCs w:val="36"/>
        </w:rPr>
        <w:t xml:space="preserve">9. Operational Layer: ADPIE</w:t>
      </w:r>
    </w:p>
    <w:p>
      <w:pPr>
        <w:spacing w:after="80" w:before="80"/>
      </w:pPr>
      <w:r>
        <w:rPr>
          <w:rFonts w:ascii="Times New Roman" w:cs="Times New Roman" w:eastAsia="Times New Roman" w:hAnsi="Times New Roman"/>
          <w:sz w:val="24"/>
          <w:szCs w:val="24"/>
        </w:rPr>
        <w:t xml:space="preserve">Conceptual insight alone is insufficient for real-world decision-making. Practical systems require structured operational processes. Within the Trinity Framework, ADPIE functions as the execution cycle that operationalizes the conceptual insights generated by the three cognitive engines.</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rPr>
          <w:tblHeader/>
        </w:trPr>
        <w:tc>
          <w:tcPr>
            <w:tcW w:type="dxa" w:w="2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Stage</w:t>
            </w:r>
          </w:p>
        </w:tc>
        <w:tc>
          <w:tcPr>
            <w:tcW w:type="dxa" w:w="73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Function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Assessment</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Gather relevant information about the problem context</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Diagnosis</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Identify the underlying problem or structural constraint</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Planning</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Design possible interventions or structural modifications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Implementation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Execute the chosen actions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Evaluation</w:t>
            </w:r>
          </w:p>
        </w:tc>
        <w:tc>
          <w:tcPr>
            <w:tcW w:type="dxa" w:w="7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Measure results and adjust strategy accordingly</w:t>
            </w:r>
          </w:p>
        </w:tc>
      </w:tr>
    </w:tbl>
    <w:p>
      <w:pPr>
        <w:spacing w:after="60" w:before="60"/>
      </w:pPr>
      <w:r>
        <w:t xml:space="preserve"/>
      </w:r>
    </w:p>
    <w:p>
      <w:pPr>
        <w:spacing w:after="80" w:before="80"/>
      </w:pPr>
      <w:r>
        <w:rPr>
          <w:rFonts w:ascii="Times New Roman" w:cs="Times New Roman" w:eastAsia="Times New Roman" w:hAnsi="Times New Roman"/>
          <w:sz w:val="24"/>
          <w:szCs w:val="24"/>
        </w:rPr>
        <w:t xml:space="preserve">ADPIE operates at multiple scales simultaneously. Rapid micro-cycles occur in local decision contexts, while slower macro-cycles guide long-term institutional evolution.</w:t>
      </w:r>
    </w:p>
    <w:p>
      <w:pPr>
        <w:spacing w:after="60" w:before="60"/>
      </w:pPr>
      <w:r>
        <w:t xml:space="preserve"/>
      </w:r>
    </w:p>
    <w:p>
      <w:pPr>
        <w:spacing w:after="80" w:before="80"/>
      </w:pPr>
      <w:r>
        <w:rPr>
          <w:rFonts w:ascii="Times New Roman" w:cs="Times New Roman" w:eastAsia="Times New Roman" w:hAnsi="Times New Roman"/>
          <w:sz w:val="24"/>
          <w:szCs w:val="24"/>
        </w:rPr>
        <w:t xml:space="preserve">The Evaluation stage acts as a stabilizing feedback loop. While emergence allows new rule structures to appear, evaluation ensures these structures remain aligned with core system objectives such as cooperation, systemic stability, and long-term survival. Adaptive evolution therefore remains bounded by feedback rather than drifting into chaos.</w:t>
      </w:r>
    </w:p>
    <w:p>
      <w:pPr>
        <w:pStyle w:val="Heading1"/>
        <w:spacing w:after="180" w:before="360"/>
      </w:pPr>
      <w:r>
        <w:rPr>
          <w:rFonts w:ascii="Arial" w:cs="Arial" w:eastAsia="Arial" w:hAnsi="Arial"/>
          <w:b/>
          <w:bCs/>
          <w:color w:val="1F3864"/>
          <w:sz w:val="36"/>
          <w:szCs w:val="36"/>
        </w:rPr>
        <w:t xml:space="preserve">10. Structured Critical Thinking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Cognitive Function</w:t>
            </w:r>
          </w:p>
        </w:tc>
        <w:tc>
          <w:tcPr>
            <w:tcW w:type="dxa" w:w="53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Method</w:t>
            </w:r>
          </w:p>
        </w:tc>
      </w:tr>
      <w:tr>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Exploration (analytical)</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Impossible-First Reasoning</w:t>
            </w:r>
          </w:p>
        </w:tc>
      </w:tr>
      <w:tr>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Exploration (experiential)</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Narrative Exploration</w:t>
            </w:r>
          </w:p>
        </w:tc>
      </w:tr>
      <w:tr>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 analysis</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Unification Method</w:t>
            </w:r>
          </w:p>
        </w:tc>
      </w:tr>
      <w:tr>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Innovation</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Emergence</w:t>
            </w:r>
          </w:p>
        </w:tc>
      </w:tr>
      <w:tr>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Stability</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Paradoxical Coherence</w:t>
            </w:r>
          </w:p>
        </w:tc>
      </w:tr>
      <w:tr>
        <w:tc>
          <w:tcPr>
            <w:tcW w:type="dxa" w:w="4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Execution</w:t>
            </w:r>
          </w:p>
        </w:tc>
        <w:tc>
          <w:tcPr>
            <w:tcW w:type="dxa" w:w="5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ADPIE</w:t>
            </w:r>
          </w:p>
        </w:tc>
      </w:tr>
    </w:tbl>
    <w:p>
      <w:pPr>
        <w:pStyle w:val="Heading1"/>
        <w:spacing w:after="180" w:before="360"/>
      </w:pPr>
      <w:r>
        <w:rPr>
          <w:rFonts w:ascii="Arial" w:cs="Arial" w:eastAsia="Arial" w:hAnsi="Arial"/>
          <w:b/>
          <w:bCs/>
          <w:color w:val="1F3864"/>
          <w:sz w:val="36"/>
          <w:szCs w:val="36"/>
        </w:rPr>
        <w:t xml:space="preserve">11. Failure Modes and Boundary Conditions</w:t>
      </w:r>
    </w:p>
    <w:p>
      <w:pPr>
        <w:spacing w:after="80" w:before="80"/>
      </w:pPr>
      <w:r>
        <w:rPr>
          <w:rFonts w:ascii="Times New Roman" w:cs="Times New Roman" w:eastAsia="Times New Roman" w:hAnsi="Times New Roman"/>
          <w:sz w:val="24"/>
          <w:szCs w:val="24"/>
        </w:rPr>
        <w:t xml:space="preserve">The Trinity Framework is designed to operate within defined boundary conditions. When these conditions are violated, the framework produces degraded outputs or fails entirely. Understanding these failure modes is essential for responsible application.</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11.1 Unification Failure Modes</w:t>
      </w:r>
    </w:p>
    <w:p>
      <w:pPr>
        <w:spacing w:after="80" w:before="80"/>
      </w:pPr>
      <w:r>
        <w:rPr>
          <w:rFonts w:ascii="Times New Roman" w:cs="Times New Roman" w:eastAsia="Times New Roman" w:hAnsi="Times New Roman"/>
          <w:sz w:val="24"/>
          <w:szCs w:val="24"/>
        </w:rPr>
        <w:t xml:space="preserve">Axis Reduction Failure: Occurs when the analyst reduces a multi-dimensional problem to fewer axes than the system actually requires. Symptom: apparent resolution that collapses under new information. Prevention: cross-validate axes with at least two independent narratives before proceeding.</w:t>
      </w:r>
    </w:p>
    <w:p>
      <w:pPr>
        <w:spacing w:after="60" w:before="60"/>
      </w:pPr>
      <w:r>
        <w:t xml:space="preserve"/>
      </w:r>
    </w:p>
    <w:p>
      <w:pPr>
        <w:spacing w:after="80" w:before="80"/>
      </w:pPr>
      <w:r>
        <w:rPr>
          <w:rFonts w:ascii="Times New Roman" w:cs="Times New Roman" w:eastAsia="Times New Roman" w:hAnsi="Times New Roman"/>
          <w:sz w:val="24"/>
          <w:szCs w:val="24"/>
        </w:rPr>
        <w:t xml:space="preserve">Meta-Rule Instability: Occurs when the generative rules identified through Unification are themselves unstable or context-dependent. Symptom: solutions that work in one context but fail when applied elsewhere. Detection: high switching frequency between apparently valid Unification frames.</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11.2 Emergence Failure Modes</w:t>
      </w:r>
    </w:p>
    <w:p>
      <w:pPr>
        <w:spacing w:after="80" w:before="80"/>
      </w:pPr>
      <w:r>
        <w:rPr>
          <w:rFonts w:ascii="Times New Roman" w:cs="Times New Roman" w:eastAsia="Times New Roman" w:hAnsi="Times New Roman"/>
          <w:sz w:val="24"/>
          <w:szCs w:val="24"/>
        </w:rPr>
        <w:t xml:space="preserve">Rule Capture: Occurs when dominant rules suppress the interaction conditions necessary for emergence. Symptom: system appears to be following Emergence methodology but produces only incremental variation, not structural novelty. Metric proxy: Gini coefficient of rule influence distribution — capture indicated when top rule accounts for &gt;70% of system behavior.</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11.3 Paradoxical Coherence Failure</w:t>
      </w:r>
    </w:p>
    <w:p>
      <w:pPr>
        <w:spacing w:after="80" w:before="80"/>
      </w:pPr>
      <w:r>
        <w:rPr>
          <w:rFonts w:ascii="Times New Roman" w:cs="Times New Roman" w:eastAsia="Times New Roman" w:hAnsi="Times New Roman"/>
          <w:sz w:val="24"/>
          <w:szCs w:val="24"/>
        </w:rPr>
        <w:t xml:space="preserve">False Coherence: Occurs when apparent stability masks underlying contradiction rather than genuine multi-level operation. Symptom: system maintains surface coherence while subsystems diverge. Prevention: require that all three Trinity mechanisms produce consistent outputs before declaring coherence achieved.</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11.4 ADPIE Execution Gap</w:t>
      </w:r>
    </w:p>
    <w:p>
      <w:pPr>
        <w:spacing w:after="80" w:before="80"/>
      </w:pPr>
      <w:r>
        <w:rPr>
          <w:rFonts w:ascii="Times New Roman" w:cs="Times New Roman" w:eastAsia="Times New Roman" w:hAnsi="Times New Roman"/>
          <w:sz w:val="24"/>
          <w:szCs w:val="24"/>
        </w:rPr>
        <w:t xml:space="preserve">Planning-Implementation Fidelity: ADPIE requires that implementation accurately reflects the plan generated in the Planning stage. When fidelity falls below approximately 60%, evaluation data becomes unreliable and the feedback loop degrades. Metric: planned-vs-actual fidelity score tracked across implementation cycles.</w:t>
      </w:r>
    </w:p>
    <w:p>
      <w:pPr>
        <w:spacing w:after="60" w:before="60"/>
      </w:pPr>
      <w:r>
        <w:t xml:space="preserve"/>
      </w:r>
    </w:p>
    <w:p>
      <w:pPr>
        <w:pStyle w:val="Heading2"/>
        <w:spacing w:after="140" w:before="280"/>
      </w:pPr>
      <w:r>
        <w:rPr>
          <w:rFonts w:ascii="Arial" w:cs="Arial" w:eastAsia="Arial" w:hAnsi="Arial"/>
          <w:b/>
          <w:bCs/>
          <w:color w:val="2E5596"/>
          <w:sz w:val="28"/>
          <w:szCs w:val="28"/>
        </w:rPr>
        <w:t xml:space="preserve">11.5 Adversarial Robustness</w:t>
      </w:r>
    </w:p>
    <w:p>
      <w:pPr>
        <w:spacing w:after="80" w:before="80"/>
      </w:pPr>
      <w:r>
        <w:rPr>
          <w:rFonts w:ascii="Times New Roman" w:cs="Times New Roman" w:eastAsia="Times New Roman" w:hAnsi="Times New Roman"/>
          <w:sz w:val="24"/>
          <w:szCs w:val="24"/>
        </w:rPr>
        <w:t xml:space="preserve">The Trinity Framework may be targeted by adversarial optimization attempts. Five attack vectors have been identified:</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000"/>
        <w:gridCol w:w="4360"/>
      </w:tblGrid>
      <w:tr>
        <w:trPr>
          <w:tblHeader/>
        </w:trPr>
        <w:tc>
          <w:tcPr>
            <w:tcW w:type="dxa" w:w="2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Attack Vector</w:t>
            </w:r>
          </w:p>
        </w:tc>
        <w:tc>
          <w:tcPr>
            <w:tcW w:type="dxa" w:w="3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Mechanism</w:t>
            </w:r>
          </w:p>
        </w:tc>
        <w:tc>
          <w:tcPr>
            <w:tcW w:type="dxa" w:w="43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Defensive Design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Metric gaming</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Optimizing measured proxies without improving underlying reality</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Rotate metrics; require multi-indicator convergence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Meta-rule capture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Dominant actors reframe the Unification axis to favor their position</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Require independent axis validation from structurally diverse perspectives</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Narrative adversarial priming</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Introduce narratives designed to bias Narrative Exploration toward predetermined conclusions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Narrative Diversity Requirement: minimum two narratives, one per failure pole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Axis framing capture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Control which dimensions are treated as axes vs. outcomes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Axis validity constraint: axes must be structurally independent</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Emergence exploitation</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Introduce rules that appear beneficial but produce harmful emergent dynamics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Slow-release testing: evaluate emergent dynamics over extended cycles before adoption</w:t>
            </w:r>
          </w:p>
        </w:tc>
      </w:tr>
    </w:tbl>
    <w:p>
      <w:pPr>
        <w:pStyle w:val="Heading1"/>
        <w:spacing w:after="180" w:before="360"/>
      </w:pPr>
      <w:r>
        <w:rPr>
          <w:rFonts w:ascii="Arial" w:cs="Arial" w:eastAsia="Arial" w:hAnsi="Arial"/>
          <w:b/>
          <w:bCs/>
          <w:color w:val="1F3864"/>
          <w:sz w:val="36"/>
          <w:szCs w:val="36"/>
        </w:rPr>
        <w:t xml:space="preserve">12. Worked Example 1 — Centralization vs. Autonomy</w:t>
      </w:r>
    </w:p>
    <w:p>
      <w:pPr>
        <w:spacing w:after="80" w:before="80"/>
      </w:pPr>
      <w:r>
        <w:rPr>
          <w:rFonts w:ascii="Times New Roman" w:cs="Times New Roman" w:eastAsia="Times New Roman" w:hAnsi="Times New Roman"/>
          <w:sz w:val="24"/>
          <w:szCs w:val="24"/>
        </w:rPr>
        <w:t xml:space="preserve">This example demonstrates the complete Trinity Framework applied to a recurring governance conflict.</w:t>
      </w:r>
    </w:p>
    <w:p>
      <w:pPr>
        <w:spacing w:after="60" w:before="60"/>
      </w:pPr>
      <w:r>
        <w:t xml:space="preserve"/>
      </w:r>
    </w:p>
    <w:p>
      <w:pPr>
        <w:spacing w:after="80" w:before="80"/>
      </w:pPr>
      <w:r>
        <w:rPr>
          <w:rFonts w:ascii="Times New Roman" w:cs="Times New Roman" w:eastAsia="Times New Roman" w:hAnsi="Times New Roman"/>
          <w:sz w:val="24"/>
          <w:szCs w:val="24"/>
        </w:rPr>
        <w:t xml:space="preserve">Problem statement: A distributed organization faces tension between centralized control (ensuring coordination and consistency) and node autonomy (enabling adaptation and innovation). Standard governance approaches treat this as a trade-off requiring a positional choice.</w:t>
      </w:r>
    </w:p>
    <w:p>
      <w:pPr>
        <w:spacing w:after="60" w:before="60"/>
      </w:pPr>
      <w:r>
        <w:t xml:space="preserve"/>
      </w:r>
    </w:p>
    <w:p>
      <w:pPr>
        <w:spacing w:after="80" w:before="80"/>
      </w:pPr>
      <w:r>
        <w:rPr>
          <w:rFonts w:ascii="Times New Roman" w:cs="Times New Roman" w:eastAsia="Times New Roman" w:hAnsi="Times New Roman"/>
          <w:sz w:val="24"/>
          <w:szCs w:val="24"/>
        </w:rPr>
        <w:t xml:space="preserve">Stage 1 — Impossible-First: Imagine a system where every node has complete autonomy AND perfect coordination simultaneously. Why is this impossible? Because coordination typically requires communication overhead that constrains autonomy, and autonomous decisions may diverge from coordinated outcomes.</w:t>
      </w:r>
    </w:p>
    <w:p>
      <w:pPr>
        <w:spacing w:after="60" w:before="60"/>
      </w:pPr>
      <w:r>
        <w:t xml:space="preserve"/>
      </w:r>
    </w:p>
    <w:p>
      <w:pPr>
        <w:spacing w:after="80" w:before="80"/>
      </w:pPr>
      <w:r>
        <w:rPr>
          <w:rFonts w:ascii="Times New Roman" w:cs="Times New Roman" w:eastAsia="Times New Roman" w:hAnsi="Times New Roman"/>
          <w:sz w:val="24"/>
          <w:szCs w:val="24"/>
        </w:rPr>
        <w:t xml:space="preserve">Stage 2 — Constraint Identification: The constraint is not autonomy vs. coordination per se, but the assumption that they operate on the same decision layer. Coordination requires shared protocols; autonomy requires independent execution within protocols.</w:t>
      </w:r>
    </w:p>
    <w:p>
      <w:pPr>
        <w:spacing w:after="60" w:before="60"/>
      </w:pPr>
      <w:r>
        <w:t xml:space="preserve"/>
      </w:r>
    </w:p>
    <w:p>
      <w:pPr>
        <w:spacing w:after="80" w:before="80"/>
      </w:pPr>
      <w:r>
        <w:rPr>
          <w:rFonts w:ascii="Times New Roman" w:cs="Times New Roman" w:eastAsia="Times New Roman" w:hAnsi="Times New Roman"/>
          <w:sz w:val="24"/>
          <w:szCs w:val="24"/>
        </w:rPr>
        <w:t xml:space="preserve">Stage 3 — Unification: The generative structure is the distinction between protocol layer (shared) and execution layer (autonomous). Reframing: centralization vs. autonomy → protocol design vs. execution design. These are not competing on the same axis.</w:t>
      </w:r>
    </w:p>
    <w:p>
      <w:pPr>
        <w:spacing w:after="60" w:before="60"/>
      </w:pPr>
      <w:r>
        <w:t xml:space="preserve"/>
      </w:r>
    </w:p>
    <w:p>
      <w:pPr>
        <w:spacing w:after="80" w:before="80"/>
      </w:pPr>
      <w:r>
        <w:rPr>
          <w:rFonts w:ascii="Times New Roman" w:cs="Times New Roman" w:eastAsia="Times New Roman" w:hAnsi="Times New Roman"/>
          <w:sz w:val="24"/>
          <w:szCs w:val="24"/>
        </w:rPr>
        <w:t xml:space="preserve">Emergence Application: Allow different nodes to develop their execution approaches under shared protocols. Observe which approaches produce better outcomes. Let successful approaches propagate through the network.</w:t>
      </w:r>
    </w:p>
    <w:p>
      <w:pPr>
        <w:spacing w:after="60" w:before="60"/>
      </w:pPr>
      <w:r>
        <w:t xml:space="preserve"/>
      </w:r>
    </w:p>
    <w:p>
      <w:pPr>
        <w:spacing w:after="80" w:before="80"/>
      </w:pPr>
      <w:r>
        <w:rPr>
          <w:rFonts w:ascii="Times New Roman" w:cs="Times New Roman" w:eastAsia="Times New Roman" w:hAnsi="Times New Roman"/>
          <w:sz w:val="24"/>
          <w:szCs w:val="24"/>
        </w:rPr>
        <w:t xml:space="preserve">Paradoxical Coherence: The system simultaneously maintains centralized protocols (coordination) and decentralized execution (autonomy). This appears contradictory from within the original framing but is coherent at the structural level.</w:t>
      </w:r>
    </w:p>
    <w:p>
      <w:pPr>
        <w:spacing w:after="60" w:before="60"/>
      </w:pPr>
      <w:r>
        <w:t xml:space="preserve"/>
      </w:r>
    </w:p>
    <w:p>
      <w:pPr>
        <w:spacing w:after="80" w:before="80"/>
      </w:pPr>
      <w:r>
        <w:rPr>
          <w:rFonts w:ascii="Times New Roman" w:cs="Times New Roman" w:eastAsia="Times New Roman" w:hAnsi="Times New Roman"/>
          <w:sz w:val="24"/>
          <w:szCs w:val="24"/>
        </w:rPr>
        <w:t xml:space="preserve">ADPIE Execution: Assess current coordination failures and autonomy gaps. Diagnose which layer they originate in. Plan protocol redesign. Implement in controlled nodes. Evaluate outcomes before network-wide deployment.</w:t>
      </w:r>
    </w:p>
    <w:p>
      <w:pPr>
        <w:pStyle w:val="Heading1"/>
        <w:spacing w:after="180" w:before="360"/>
      </w:pPr>
      <w:r>
        <w:rPr>
          <w:rFonts w:ascii="Arial" w:cs="Arial" w:eastAsia="Arial" w:hAnsi="Arial"/>
          <w:b/>
          <w:bCs/>
          <w:color w:val="1F3864"/>
          <w:sz w:val="36"/>
          <w:szCs w:val="36"/>
        </w:rPr>
        <w:t xml:space="preserve">13. Worked Example 2 — Speed vs. Safety in AI Development</w:t>
      </w:r>
    </w:p>
    <w:p>
      <w:pPr>
        <w:spacing w:after="80" w:before="80"/>
      </w:pPr>
      <w:r>
        <w:rPr>
          <w:rFonts w:ascii="Times New Roman" w:cs="Times New Roman" w:eastAsia="Times New Roman" w:hAnsi="Times New Roman"/>
          <w:sz w:val="24"/>
          <w:szCs w:val="24"/>
        </w:rPr>
        <w:t xml:space="preserve">This example applies the framework to a contemporary civilizational tension.</w:t>
      </w:r>
    </w:p>
    <w:p>
      <w:pPr>
        <w:spacing w:after="60" w:before="60"/>
      </w:pPr>
      <w:r>
        <w:t xml:space="preserve"/>
      </w:r>
    </w:p>
    <w:p>
      <w:pPr>
        <w:spacing w:after="80" w:before="80"/>
      </w:pPr>
      <w:r>
        <w:rPr>
          <w:rFonts w:ascii="Times New Roman" w:cs="Times New Roman" w:eastAsia="Times New Roman" w:hAnsi="Times New Roman"/>
          <w:sz w:val="24"/>
          <w:szCs w:val="24"/>
        </w:rPr>
        <w:t xml:space="preserve">Problem statement: AI development proceeds under competing pressures — speed of deployment (competitive advantage, capability growth) and safety (alignment, risk mitigation). Standard framing treats these as a trade-off curve.</w:t>
      </w:r>
    </w:p>
    <w:p>
      <w:pPr>
        <w:spacing w:after="60" w:before="60"/>
      </w:pPr>
      <w:r>
        <w:t xml:space="preserve"/>
      </w:r>
    </w:p>
    <w:p>
      <w:pPr>
        <w:spacing w:after="80" w:before="80"/>
      </w:pPr>
      <w:r>
        <w:rPr>
          <w:rFonts w:ascii="Times New Roman" w:cs="Times New Roman" w:eastAsia="Times New Roman" w:hAnsi="Times New Roman"/>
          <w:sz w:val="24"/>
          <w:szCs w:val="24"/>
        </w:rPr>
        <w:t xml:space="preserve">Aviation narrative: Early aviation treated speed and safety as trade-offs. Aircraft were fast or they were safe. The structural reframe came from recognizing that safety is not a constraint on speed — it is a prerequisite for sustained speed. Aircraft that crash frequently do not produce competitive advantage. Safety engineering became speed engineering.</w:t>
      </w:r>
    </w:p>
    <w:p>
      <w:pPr>
        <w:spacing w:after="60" w:before="60"/>
      </w:pPr>
      <w:r>
        <w:t xml:space="preserve"/>
      </w:r>
    </w:p>
    <w:p>
      <w:pPr>
        <w:spacing w:after="80" w:before="80"/>
      </w:pPr>
      <w:r>
        <w:rPr>
          <w:rFonts w:ascii="Times New Roman" w:cs="Times New Roman" w:eastAsia="Times New Roman" w:hAnsi="Times New Roman"/>
          <w:sz w:val="24"/>
          <w:szCs w:val="24"/>
        </w:rPr>
        <w:t xml:space="preserve">Nuclear narrative: Nuclear energy development proceeded under speed pressure. Early reactors prioritized deployment timeline over safety architecture. The result was not faster progress but catastrophic setbacks (Three Mile Island, Chernobyl) that produced decades-long regulatory freeze. The constraint was not safety vs. speed but the false assumption that they operated on the same timeline.</w:t>
      </w:r>
    </w:p>
    <w:p>
      <w:pPr>
        <w:spacing w:after="60" w:before="60"/>
      </w:pPr>
      <w:r>
        <w:t xml:space="preserve"/>
      </w:r>
    </w:p>
    <w:p>
      <w:pPr>
        <w:spacing w:after="80" w:before="80"/>
      </w:pPr>
      <w:r>
        <w:rPr>
          <w:rFonts w:ascii="Times New Roman" w:cs="Times New Roman" w:eastAsia="Times New Roman" w:hAnsi="Times New Roman"/>
          <w:sz w:val="24"/>
          <w:szCs w:val="24"/>
        </w:rPr>
        <w:t xml:space="preserve">Unification Application: The generative structure is the distinction between deployment velocity and capability velocity. Safety constraints may reduce deployment velocity while increasing long-term capability velocity by preventing catastrophic setbacks that reset progress.</w:t>
      </w:r>
    </w:p>
    <w:p>
      <w:pPr>
        <w:spacing w:after="60" w:before="60"/>
      </w:pPr>
      <w:r>
        <w:t xml:space="preserve"/>
      </w:r>
    </w:p>
    <w:p>
      <w:pPr>
        <w:spacing w:after="80" w:before="80"/>
      </w:pPr>
      <w:r>
        <w:rPr>
          <w:rFonts w:ascii="Times New Roman" w:cs="Times New Roman" w:eastAsia="Times New Roman" w:hAnsi="Times New Roman"/>
          <w:sz w:val="24"/>
          <w:szCs w:val="24"/>
        </w:rPr>
        <w:t xml:space="preserve">Structural resolution: Speed and safety are not on the same axis. They are orthogonal dimensions of a capability development function. Optimizing for deployment speed at the expense of safety is equivalent to optimizing a single dimension while allowing another to collapse.</w:t>
      </w:r>
    </w:p>
    <w:p>
      <w:pPr>
        <w:pStyle w:val="Heading1"/>
        <w:spacing w:after="180" w:before="360"/>
      </w:pPr>
      <w:r>
        <w:rPr>
          <w:rFonts w:ascii="Arial" w:cs="Arial" w:eastAsia="Arial" w:hAnsi="Arial"/>
          <w:b/>
          <w:bCs/>
          <w:color w:val="1F3864"/>
          <w:sz w:val="36"/>
          <w:szCs w:val="36"/>
        </w:rPr>
        <w:t xml:space="preserve">14. Operational Protocol</w:t>
      </w:r>
    </w:p>
    <w:p>
      <w:pPr>
        <w:spacing w:after="80" w:before="80"/>
      </w:pPr>
      <w:r>
        <w:rPr>
          <w:rFonts w:ascii="Times New Roman" w:cs="Times New Roman" w:eastAsia="Times New Roman" w:hAnsi="Times New Roman"/>
          <w:sz w:val="24"/>
          <w:szCs w:val="24"/>
        </w:rPr>
        <w:t xml:space="preserve">The following protocol provides a compressed field guide for applying the Trinity Framework. Minimum requirements and stop conditions are specified to prevent misapplication.</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1800"/>
        <w:gridCol w:w="2800"/>
        <w:gridCol w:w="4160"/>
      </w:tblGrid>
      <w:tr>
        <w:trPr>
          <w:tblHeader/>
        </w:trPr>
        <w:tc>
          <w:tcPr>
            <w:tcW w:type="dxa" w:w="6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Step</w:t>
            </w:r>
          </w:p>
        </w:tc>
        <w:tc>
          <w:tcPr>
            <w:tcW w:type="dxa" w:w="18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Action</w:t>
            </w:r>
          </w:p>
        </w:tc>
        <w:tc>
          <w:tcPr>
            <w:tcW w:type="dxa" w:w="28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Minimum Requirement</w:t>
            </w:r>
          </w:p>
        </w:tc>
        <w:tc>
          <w:tcPr>
            <w:tcW w:type="dxa" w:w="41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Stop Condition</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1</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Select entry method</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Choose Impossible-First or Narrative based on problem type</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None — always required</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2</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Identify structural constraint</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At least one non-obvious constraint must be identified</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Stop if no constraint found after two attempts — problem may not be suitable for Trinity</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3</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Apply Unification</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Reduce to minimum axes; validate with two independent sources</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Stop if axes cannot be independently validated</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4</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Apply Emergence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Define rule interactions; allow at least one emergent cycle before evaluation</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Stop if no emergent dynamics observed — system may be too constrained</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5</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Test Paradoxical Coherence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Verify all three Trinity mechanisms produce consistent outputs</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Stop if coherence is false (subsystems diverging) — return to Step 3</w:t>
            </w:r>
          </w:p>
        </w:tc>
      </w:tr>
      <w:tr>
        <w:tc>
          <w:tcPr>
            <w:tcW w:type="dxa" w:w="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6</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Execute ADPIE</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Maintain planning-implementation fidelity ≥ 60%</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Stop if fidelity falls below threshold — return to Planning stage</w:t>
            </w:r>
          </w:p>
        </w:tc>
      </w:tr>
    </w:tbl>
    <w:p>
      <w:pPr>
        <w:pStyle w:val="Heading1"/>
        <w:spacing w:after="180" w:before="360"/>
      </w:pPr>
      <w:r>
        <w:rPr>
          <w:rFonts w:ascii="Arial" w:cs="Arial" w:eastAsia="Arial" w:hAnsi="Arial"/>
          <w:b/>
          <w:bCs/>
          <w:color w:val="1F3864"/>
          <w:sz w:val="36"/>
          <w:szCs w:val="36"/>
        </w:rPr>
        <w:t xml:space="preserve">15. Civilizational Implications</w:t>
      </w:r>
    </w:p>
    <w:p>
      <w:pPr>
        <w:spacing w:after="80" w:before="80"/>
      </w:pPr>
      <w:r>
        <w:rPr>
          <w:rFonts w:ascii="Times New Roman" w:cs="Times New Roman" w:eastAsia="Times New Roman" w:hAnsi="Times New Roman"/>
          <w:sz w:val="24"/>
          <w:szCs w:val="24"/>
        </w:rPr>
        <w:t xml:space="preserve">In complex societies, many conflicts arise from differences in values rather than material scarcity. As technological development reduces scarcity through automation, artificial intelligence, and advanced manufacturing, such value-based conflicts may become increasingly central to civilizational governance.</w:t>
      </w:r>
    </w:p>
    <w:p>
      <w:pPr>
        <w:spacing w:after="60" w:before="60"/>
      </w:pPr>
      <w:r>
        <w:t xml:space="preserve"/>
      </w:r>
    </w:p>
    <w:p>
      <w:pPr>
        <w:spacing w:after="80" w:before="80"/>
      </w:pPr>
      <w:r>
        <w:rPr>
          <w:rFonts w:ascii="Times New Roman" w:cs="Times New Roman" w:eastAsia="Times New Roman" w:hAnsi="Times New Roman"/>
          <w:sz w:val="24"/>
          <w:szCs w:val="24"/>
        </w:rPr>
        <w:t xml:space="preserve">The Trinity Framework offers a cognitive architecture capable of addressing these challenges by allowing: structural reframing of ideological conflicts, emergence of new institutional models, and adaptive stability during systemic change.</w:t>
      </w:r>
    </w:p>
    <w:p>
      <w:pPr>
        <w:spacing w:after="60" w:before="60"/>
      </w:pPr>
      <w:r>
        <w:t xml:space="preserve"/>
      </w:r>
    </w:p>
    <w:p>
      <w:pPr>
        <w:spacing w:after="80" w:before="80"/>
      </w:pPr>
      <w:r>
        <w:rPr>
          <w:rFonts w:ascii="Times New Roman" w:cs="Times New Roman" w:eastAsia="Times New Roman" w:hAnsi="Times New Roman"/>
          <w:sz w:val="24"/>
          <w:szCs w:val="24"/>
        </w:rPr>
        <w:t xml:space="preserve">Within the System of Eternity (SOE) architecture, governance becomes a continuous process of experimentation and renewal rather than a fixed institutional design. The Trinity Framework provides the cognitive infrastructure through which such adaptive governance can be sustained. Narrative Exploration extends this capacity by ensuring that structural insights generated within the framework can be encoded and transmitted across civilizational time scales.</w:t>
      </w:r>
    </w:p>
    <w:p>
      <w:pPr>
        <w:pStyle w:val="Heading1"/>
        <w:spacing w:after="180" w:before="360"/>
      </w:pPr>
      <w:r>
        <w:rPr>
          <w:rFonts w:ascii="Arial" w:cs="Arial" w:eastAsia="Arial" w:hAnsi="Arial"/>
          <w:b/>
          <w:bCs/>
          <w:color w:val="1F3864"/>
          <w:sz w:val="36"/>
          <w:szCs w:val="36"/>
        </w:rPr>
        <w:t xml:space="preserve">16. Conclusion</w:t>
      </w:r>
    </w:p>
    <w:p>
      <w:pPr>
        <w:spacing w:after="80" w:before="80"/>
      </w:pPr>
      <w:r>
        <w:rPr>
          <w:rFonts w:ascii="Times New Roman" w:cs="Times New Roman" w:eastAsia="Times New Roman" w:hAnsi="Times New Roman"/>
          <w:sz w:val="24"/>
          <w:szCs w:val="24"/>
        </w:rPr>
        <w:t xml:space="preserve">This paper proposes a multi-layer cognitive architecture integrating exploration, structural insight, generative innovation, adaptive stability, and operational execution. The framework combines six complementary mechanisms:</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Mechanism</w:t>
            </w:r>
          </w:p>
        </w:tc>
        <w:tc>
          <w:tcPr>
            <w:tcW w:type="dxa" w:w="63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Role</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Impossible-First Reasoning</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Exploratory discovery (analytical)</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Narrative Exploration</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Exploratory discovery (experiential)</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Unification</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 understanding</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Emergence</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Generative innovation</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Paradoxical Coherence</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Adaptive stability</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ADPIE</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Practical execution</w:t>
            </w:r>
          </w:p>
        </w:tc>
      </w:tr>
    </w:tbl>
    <w:p>
      <w:pPr>
        <w:spacing w:after="60" w:before="60"/>
      </w:pPr>
      <w:r>
        <w:t xml:space="preserve"/>
      </w:r>
    </w:p>
    <w:p>
      <w:pPr>
        <w:spacing w:after="80" w:before="80"/>
      </w:pPr>
      <w:r>
        <w:rPr>
          <w:rFonts w:ascii="Times New Roman" w:cs="Times New Roman" w:eastAsia="Times New Roman" w:hAnsi="Times New Roman"/>
          <w:sz w:val="24"/>
          <w:szCs w:val="24"/>
        </w:rPr>
        <w:t xml:space="preserve">Individually, each component of the framework already exists in various disciplines. Analytical reasoning, emergence theory, feedback loops, narrative theory, and philosophical traditions of balance have long been studied independently.</w:t>
      </w:r>
    </w:p>
    <w:p>
      <w:pPr>
        <w:spacing w:after="60" w:before="60"/>
      </w:pPr>
      <w:r>
        <w:t xml:space="preserve"/>
      </w:r>
    </w:p>
    <w:p>
      <w:pPr>
        <w:spacing w:after="80" w:before="80"/>
      </w:pPr>
      <w:r>
        <w:rPr>
          <w:rFonts w:ascii="Times New Roman" w:cs="Times New Roman" w:eastAsia="Times New Roman" w:hAnsi="Times New Roman"/>
          <w:sz w:val="24"/>
          <w:szCs w:val="24"/>
        </w:rPr>
        <w:t xml:space="preserve">What the Trinity Framework provides is an integrated architecture that connects exploration, structural insight, generative innovation, adaptive stability, and operational execution into a single cognitive system. The addition of Narrative Exploration recognizes that structural insight is not accessed exclusively through deliberate analytical reasoning — it is also accessed through immersive experience, and stories are the oldest and most widely distributed technology for delivering that experience (Mar &amp; Oatley, 2008). This integration enables complex systems — whether scientific, institutional, or civilizational — to evolve continuously while maintaining coherence.</w:t>
      </w:r>
    </w:p>
    <w:p>
      <w:pPr>
        <w:pStyle w:val="Heading1"/>
        <w:spacing w:after="180" w:before="360"/>
      </w:pPr>
      <w:r>
        <w:rPr>
          <w:rFonts w:ascii="Arial" w:cs="Arial" w:eastAsia="Arial" w:hAnsi="Arial"/>
          <w:b/>
          <w:bCs/>
          <w:color w:val="1F3864"/>
          <w:sz w:val="36"/>
          <w:szCs w:val="36"/>
        </w:rPr>
        <w:t xml:space="preserve">References</w:t>
      </w:r>
    </w:p>
    <w:p>
      <w:pPr>
        <w:spacing w:after="80" w:before="80"/>
      </w:pPr>
      <w:r>
        <w:rPr>
          <w:rFonts w:ascii="Times New Roman" w:cs="Times New Roman" w:eastAsia="Times New Roman" w:hAnsi="Times New Roman"/>
          <w:sz w:val="24"/>
          <w:szCs w:val="24"/>
        </w:rPr>
        <w:t xml:space="preserve">Barsalou, L.W. (1999). Perceptual symbol systems. Behavioral and Brain Sciences, 22(4), 577–660.</w:t>
      </w:r>
    </w:p>
    <w:p>
      <w:pPr>
        <w:spacing w:after="80" w:before="80"/>
      </w:pPr>
      <w:r>
        <w:rPr>
          <w:rFonts w:ascii="Times New Roman" w:cs="Times New Roman" w:eastAsia="Times New Roman" w:hAnsi="Times New Roman"/>
          <w:sz w:val="24"/>
          <w:szCs w:val="24"/>
        </w:rPr>
        <w:t xml:space="preserve">Mar, R.A., &amp; Oatley, K. (2008). The function of fiction is the abstraction and simulation of social experience. Perspectives on Psychological Science, 3(3), 173–192.</w:t>
      </w:r>
    </w:p>
    <w:p>
      <w:pPr>
        <w:spacing w:after="80" w:before="80"/>
      </w:pPr>
      <w:r>
        <w:rPr>
          <w:rFonts w:ascii="Times New Roman" w:cs="Times New Roman" w:eastAsia="Times New Roman" w:hAnsi="Times New Roman"/>
          <w:sz w:val="24"/>
          <w:szCs w:val="24"/>
        </w:rPr>
        <w:t xml:space="preserve">Zwaan, R.A. (1999). Situation models: The mental leap into imagined worlds. Current Directions in Psychological Science, 8(1), 15–18.</w:t>
      </w:r>
    </w:p>
    <w:p>
      <w:pPr>
        <w:spacing w:after="60" w:before="60"/>
      </w:pPr>
      <w:r>
        <w:t xml:space="preserve"/>
      </w:r>
    </w:p>
    <w:p>
      <w:pPr>
        <w:pBdr>
          <w:top w:val="single" w:color="2E5596" w:sz="4"/>
        </w:pBdr>
        <w:spacing w:after="0" w:before="360"/>
      </w:pPr>
      <w:r>
        <w:rPr>
          <w:rFonts w:ascii="Arial" w:cs="Arial" w:eastAsia="Arial" w:hAnsi="Arial"/>
          <w:i/>
          <w:iCs/>
          <w:color w:val="2E5596"/>
          <w:sz w:val="20"/>
          <w:szCs w:val="20"/>
        </w:rPr>
        <w:t xml:space="preserve">Trinity Framework v5 — Citation Edition | System of Eternity Research Program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6"/>
      <w:szCs w:val="36"/>
    </w:rPr>
  </w:style>
  <w:style w:type="paragraph" w:styleId="Heading2">
    <w:name w:val="Heading 2"/>
    <w:basedOn w:val="Normal"/>
    <w:next w:val="Normal"/>
    <w:qFormat/>
    <w:pPr>
      <w:spacing w:after="140" w:before="280"/>
      <w:outlineLvl w:val="1"/>
    </w:pPr>
    <w:rPr>
      <w:rFonts w:ascii="Arial" w:cs="Arial" w:eastAsia="Arial" w:hAnsi="Arial"/>
      <w:b/>
      <w:bCs/>
      <w:color w:val="2E5596"/>
      <w:sz w:val="28"/>
      <w:szCs w:val="28"/>
    </w:rPr>
  </w:style>
  <w:style w:type="paragraph" w:styleId="Heading3">
    <w:name w:val="Heading 3"/>
    <w:basedOn w:val="Normal"/>
    <w:next w:val="Normal"/>
    <w:qFormat/>
    <w:pPr>
      <w:spacing w:after="100" w:before="200"/>
      <w:outlineLvl w:val="2"/>
    </w:pPr>
    <w:rPr>
      <w:rFonts w:ascii="Arial" w:cs="Arial" w:eastAsia="Arial" w:hAnsi="Arial"/>
      <w:b/>
      <w:bCs/>
      <w:color w:val="4A6FA5"/>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2026-05-02T16:51:07.476Z</dcterms:created>
  <dcterms:modified xsi:type="dcterms:W3CDTF">2026-05-02T16:51:07.477Z</dcterms:modified>
</cp:coreProperties>
</file>

<file path=docProps/custom.xml><?xml version="1.0" encoding="utf-8"?>
<Properties xmlns="http://schemas.openxmlformats.org/officeDocument/2006/custom-properties" xmlns:vt="http://schemas.openxmlformats.org/officeDocument/2006/docPropsVTypes"/>
</file>